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343F56">
        <w:rPr>
          <w:rFonts w:asciiTheme="minorHAnsi" w:hAnsiTheme="minorHAnsi" w:cs="Calibri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343F56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17. září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692F92" w:rsidRPr="000D6737" w:rsidRDefault="00692F92" w:rsidP="00692F92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692F92" w:rsidRDefault="00692F92" w:rsidP="00692F92">
      <w:pPr>
        <w:pStyle w:val="Odstavecseseznamem"/>
        <w:numPr>
          <w:ilvl w:val="0"/>
          <w:numId w:val="36"/>
        </w:numPr>
        <w:spacing w:after="0" w:line="240" w:lineRule="auto"/>
      </w:pPr>
      <w:r>
        <w:t>rozpočtové opatření č. 5/2012 bez výhrad</w:t>
      </w:r>
    </w:p>
    <w:p w:rsidR="00692F92" w:rsidRDefault="00692F92" w:rsidP="00692F92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692F92" w:rsidRPr="000D5EF5" w:rsidRDefault="00692F92" w:rsidP="00692F92">
      <w:pPr>
        <w:pStyle w:val="Odstavecseseznamem"/>
        <w:spacing w:after="0" w:line="240" w:lineRule="auto"/>
        <w:ind w:left="1545"/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>poskytnutí finančního příspěvku do výše 15 000,-Kč na opravu plotu po předložení faktur za materiál</w:t>
      </w:r>
    </w:p>
    <w:p w:rsidR="000D5EF5" w:rsidRPr="000D5EF5" w:rsidRDefault="000D5EF5" w:rsidP="00240799">
      <w:pPr>
        <w:pStyle w:val="Odstavecseseznamem"/>
        <w:spacing w:after="0" w:line="240" w:lineRule="auto"/>
        <w:ind w:left="1545"/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Pr="004E512C" w:rsidRDefault="000D5EF5" w:rsidP="00240799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0D6737" w:rsidRDefault="00A07028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343F56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0D6737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343F56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0D6737" w:rsidRPr="000D6737">
        <w:rPr>
          <w:rFonts w:asciiTheme="minorHAnsi" w:hAnsiTheme="minorHAnsi" w:cs="Calibri"/>
          <w:bCs w:val="0"/>
          <w:i w:val="0"/>
          <w:sz w:val="22"/>
          <w:szCs w:val="22"/>
        </w:rPr>
        <w:t>ne</w:t>
      </w:r>
      <w:r w:rsidR="00A13D68"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D6737" w:rsidRPr="000D6737" w:rsidRDefault="000D6737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smlouvu 1030010070/002 o budoucí smlouvě o zřízení práva odpovídající věcnému břemenu pro stavbu „Hůry par. č. 286/11 2 RD p. </w:t>
      </w:r>
      <w:proofErr w:type="spellStart"/>
      <w:r>
        <w:t>Sukdol</w:t>
      </w:r>
      <w:proofErr w:type="spellEnd"/>
      <w:r>
        <w:t xml:space="preserve">“ za úplatu 10 000,-Kč a požaduje jednorázovou úplatu za zřízení věcného břemene ve výši 20 000,-Kč. </w:t>
      </w:r>
    </w:p>
    <w:p w:rsidR="001A6CAD" w:rsidRDefault="001A6CAD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="00343F56" w:rsidRPr="000D6737">
        <w:rPr>
          <w:rFonts w:cs="Calibri"/>
          <w:b/>
          <w:bCs/>
        </w:rPr>
        <w:t>8</w:t>
      </w:r>
      <w:r w:rsidRPr="000D6737">
        <w:rPr>
          <w:rFonts w:cs="Calibri"/>
          <w:b/>
          <w:bCs/>
        </w:rPr>
        <w:t xml:space="preserve"> zastupitelů z </w:t>
      </w:r>
      <w:r w:rsidR="00343F56" w:rsidRPr="000D6737">
        <w:rPr>
          <w:rFonts w:cs="Calibri"/>
          <w:b/>
          <w:bCs/>
        </w:rPr>
        <w:t>8</w:t>
      </w:r>
      <w:r w:rsidRPr="000D6737">
        <w:rPr>
          <w:rFonts w:cs="Calibri"/>
          <w:b/>
          <w:bCs/>
        </w:rPr>
        <w:t xml:space="preserve"> přítomných, PROTI – nikdo</w:t>
      </w:r>
    </w:p>
    <w:p w:rsidR="000D5EF5" w:rsidRDefault="000D5EF5" w:rsidP="00240799">
      <w:pPr>
        <w:spacing w:after="0" w:line="240" w:lineRule="auto"/>
        <w:rPr>
          <w:rFonts w:cs="Calibri"/>
          <w:b/>
          <w:bCs/>
        </w:rPr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>smlouvu č. 1030009557/002 o zřízení práva odpovídající věcnému břemenu za jednorázovou úplatu 1 000,-Kč</w:t>
      </w:r>
      <w:r w:rsidRPr="000D6737">
        <w:rPr>
          <w:rFonts w:cs="Calibri"/>
          <w:b/>
          <w:bCs/>
        </w:rPr>
        <w:t xml:space="preserve"> </w:t>
      </w:r>
    </w:p>
    <w:p w:rsidR="000D5EF5" w:rsidRDefault="000D5EF5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Pr="000D5EF5" w:rsidRDefault="000D5EF5" w:rsidP="00240799">
      <w:pPr>
        <w:pStyle w:val="Odstavecseseznamem"/>
        <w:spacing w:after="0" w:line="240" w:lineRule="auto"/>
        <w:ind w:left="1545"/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Dodatek č. 2 a 3 ke smlouvě o dílo č. 021/2012 ze dne </w:t>
      </w:r>
      <w:proofErr w:type="gramStart"/>
      <w:r w:rsidR="00240799">
        <w:t>27.03.2012</w:t>
      </w:r>
      <w:proofErr w:type="gramEnd"/>
    </w:p>
    <w:p w:rsidR="000D5EF5" w:rsidRDefault="000D5EF5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Default="000D5EF5" w:rsidP="00240799">
      <w:pPr>
        <w:spacing w:after="0" w:line="240" w:lineRule="auto"/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pověřuje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starostu obce podpisem Dodatku č. 2 a 3 ke smlouvě o dílo č. 021/2012 ze dne </w:t>
      </w:r>
      <w:proofErr w:type="gramStart"/>
      <w:r w:rsidR="00240799">
        <w:t>27.03.2012</w:t>
      </w:r>
      <w:proofErr w:type="gramEnd"/>
    </w:p>
    <w:p w:rsidR="000D5EF5" w:rsidRDefault="000D5EF5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Pr="000D5EF5" w:rsidRDefault="000D5EF5" w:rsidP="00240799">
      <w:pPr>
        <w:spacing w:after="0" w:line="240" w:lineRule="auto"/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0D6737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>Smlouvu o dílo č. 18/2012</w:t>
      </w:r>
    </w:p>
    <w:p w:rsidR="000D5EF5" w:rsidRDefault="000D5EF5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Default="000D5EF5" w:rsidP="00240799">
      <w:pPr>
        <w:spacing w:after="0" w:line="240" w:lineRule="auto"/>
      </w:pPr>
    </w:p>
    <w:p w:rsidR="000D5EF5" w:rsidRPr="000D6737" w:rsidRDefault="000D5EF5" w:rsidP="00240799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pověřuje</w:t>
      </w:r>
      <w:proofErr w:type="gramEnd"/>
    </w:p>
    <w:p w:rsid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Smlouvy o dílo č. 18/2012</w:t>
      </w:r>
    </w:p>
    <w:p w:rsidR="000D5EF5" w:rsidRDefault="000D5EF5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Default="000D5EF5" w:rsidP="00240799">
      <w:pPr>
        <w:spacing w:after="0" w:line="240" w:lineRule="auto"/>
        <w:rPr>
          <w:rFonts w:cs="Calibri"/>
          <w:b/>
          <w:bCs/>
        </w:rPr>
      </w:pPr>
    </w:p>
    <w:p w:rsidR="000D5EF5" w:rsidRDefault="000D5EF5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U19 – ad </w:t>
      </w:r>
      <w:proofErr w:type="gramStart"/>
      <w:r>
        <w:rPr>
          <w:rFonts w:cs="Calibri"/>
          <w:b/>
          <w:bCs/>
        </w:rPr>
        <w:t xml:space="preserve">IV. – </w:t>
      </w:r>
      <w:r w:rsidR="007B011A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schvaluje</w:t>
      </w:r>
      <w:proofErr w:type="gramEnd"/>
    </w:p>
    <w:p w:rsidR="000D5EF5" w:rsidRPr="000D5EF5" w:rsidRDefault="000D5EF5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 xml:space="preserve">kupní smlouvu na prodej pozemků </w:t>
      </w:r>
      <w:proofErr w:type="spellStart"/>
      <w:r>
        <w:t>parc</w:t>
      </w:r>
      <w:proofErr w:type="spellEnd"/>
      <w:r>
        <w:t>. č. 226/16 o výměře 26m</w:t>
      </w:r>
      <w:r w:rsidRPr="00C34891">
        <w:rPr>
          <w:vertAlign w:val="superscript"/>
        </w:rPr>
        <w:t>2</w:t>
      </w:r>
      <w:r>
        <w:t>, 59/16 o výměře 1m</w:t>
      </w:r>
      <w:r w:rsidRPr="00C34891">
        <w:rPr>
          <w:vertAlign w:val="superscript"/>
        </w:rPr>
        <w:t>2</w:t>
      </w:r>
      <w:r>
        <w:t xml:space="preserve"> a 59/17 o výměře 3m</w:t>
      </w:r>
      <w:r w:rsidRPr="00C34891">
        <w:rPr>
          <w:vertAlign w:val="superscript"/>
        </w:rPr>
        <w:t>2</w:t>
      </w:r>
      <w:r>
        <w:t>, vše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 za celkovou kupní cenu 9 000,-Kč</w:t>
      </w:r>
    </w:p>
    <w:p w:rsidR="007B011A" w:rsidRDefault="007B011A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0D5EF5" w:rsidRDefault="000D5EF5" w:rsidP="00240799">
      <w:pPr>
        <w:spacing w:after="0" w:line="240" w:lineRule="auto"/>
        <w:rPr>
          <w:rFonts w:cs="Calibri"/>
          <w:b/>
          <w:bCs/>
        </w:rPr>
      </w:pP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IV. – pověřuje</w:t>
      </w:r>
    </w:p>
    <w:p w:rsidR="007B011A" w:rsidRPr="007B011A" w:rsidRDefault="007B011A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starostu obce podpisem </w:t>
      </w:r>
      <w:r>
        <w:t xml:space="preserve">kupní smlouvy na prodej pozemků </w:t>
      </w:r>
      <w:proofErr w:type="spellStart"/>
      <w:r>
        <w:t>parc</w:t>
      </w:r>
      <w:proofErr w:type="spellEnd"/>
      <w:r>
        <w:t>. č. 226/16 o výměře 26m</w:t>
      </w:r>
      <w:r w:rsidRPr="00C34891">
        <w:rPr>
          <w:vertAlign w:val="superscript"/>
        </w:rPr>
        <w:t>2</w:t>
      </w:r>
      <w:r>
        <w:t>, 59/16 o výměře 1m</w:t>
      </w:r>
      <w:r w:rsidRPr="00C34891">
        <w:rPr>
          <w:vertAlign w:val="superscript"/>
        </w:rPr>
        <w:t>2</w:t>
      </w:r>
      <w:r>
        <w:t xml:space="preserve"> a 59/17 o výměře 3m</w:t>
      </w:r>
      <w:r w:rsidRPr="00C34891">
        <w:rPr>
          <w:vertAlign w:val="superscript"/>
        </w:rPr>
        <w:t>2</w:t>
      </w:r>
      <w:r>
        <w:t>, vše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 za celkovou kupní cenu 9 000,-Kč</w:t>
      </w:r>
    </w:p>
    <w:p w:rsidR="007B011A" w:rsidRDefault="007B011A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lastRenderedPageBreak/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U19 – ad </w:t>
      </w:r>
      <w:proofErr w:type="gramStart"/>
      <w:r>
        <w:rPr>
          <w:rFonts w:cs="Calibri"/>
          <w:b/>
          <w:bCs/>
        </w:rPr>
        <w:t>IV. –  schvaluje</w:t>
      </w:r>
      <w:proofErr w:type="gramEnd"/>
    </w:p>
    <w:p w:rsidR="007B011A" w:rsidRDefault="007B011A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 xml:space="preserve">kupní smlouvu na koupi pozemků </w:t>
      </w:r>
      <w:proofErr w:type="spellStart"/>
      <w:r>
        <w:t>parc</w:t>
      </w:r>
      <w:proofErr w:type="spellEnd"/>
      <w:r>
        <w:t>. č. 228/4 o výměře 8m</w:t>
      </w:r>
      <w:r w:rsidRPr="00C34891">
        <w:rPr>
          <w:vertAlign w:val="superscript"/>
        </w:rPr>
        <w:t>2</w:t>
      </w:r>
      <w:r>
        <w:t>, 230/2 o výměře 3m</w:t>
      </w:r>
      <w:r w:rsidRPr="00C34891">
        <w:rPr>
          <w:vertAlign w:val="superscript"/>
        </w:rPr>
        <w:t>2</w:t>
      </w:r>
      <w:r>
        <w:t xml:space="preserve"> a 232/10 o výměře 1m</w:t>
      </w:r>
      <w:r w:rsidRPr="00C34891">
        <w:rPr>
          <w:vertAlign w:val="superscript"/>
        </w:rPr>
        <w:t>2</w:t>
      </w:r>
      <w:r>
        <w:t xml:space="preserve"> za cenu 300,-/m</w:t>
      </w:r>
      <w:r w:rsidRPr="00C34891">
        <w:rPr>
          <w:vertAlign w:val="superscript"/>
        </w:rPr>
        <w:t>2</w:t>
      </w:r>
      <w:r>
        <w:t>, vše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ČB, za celkovou kupní cenu 3 600,-Kč</w:t>
      </w:r>
      <w:r w:rsidRPr="000D6737">
        <w:rPr>
          <w:rFonts w:cs="Calibri"/>
          <w:b/>
          <w:bCs/>
        </w:rPr>
        <w:t xml:space="preserve"> </w:t>
      </w:r>
    </w:p>
    <w:p w:rsidR="007B011A" w:rsidRDefault="007B011A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0D6737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0D6737">
        <w:rPr>
          <w:rFonts w:cs="Calibri"/>
          <w:b/>
          <w:bCs/>
        </w:rPr>
        <w:t>8 zastupitelů z 8 přítomných, PROTI – nikdo</w:t>
      </w: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IV. – pověřuje</w:t>
      </w:r>
    </w:p>
    <w:p w:rsidR="007B011A" w:rsidRDefault="007B011A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 w:rsidRPr="007B011A">
        <w:rPr>
          <w:rFonts w:cs="Calibri"/>
          <w:bCs/>
        </w:rPr>
        <w:t xml:space="preserve">starostu obce podpisem </w:t>
      </w:r>
      <w:r>
        <w:t xml:space="preserve">kupní smlouvy na koupi pozemků </w:t>
      </w:r>
      <w:proofErr w:type="spellStart"/>
      <w:r>
        <w:t>parc</w:t>
      </w:r>
      <w:proofErr w:type="spellEnd"/>
      <w:r>
        <w:t>. č. 228/4 o výměře 8m</w:t>
      </w:r>
      <w:r w:rsidRPr="00C34891">
        <w:rPr>
          <w:vertAlign w:val="superscript"/>
        </w:rPr>
        <w:t>2</w:t>
      </w:r>
      <w:r>
        <w:t>, 230/2 o výměře 3m</w:t>
      </w:r>
      <w:r w:rsidRPr="00C34891">
        <w:rPr>
          <w:vertAlign w:val="superscript"/>
        </w:rPr>
        <w:t>2</w:t>
      </w:r>
      <w:r>
        <w:t xml:space="preserve"> a 232/10 o výměře 1m</w:t>
      </w:r>
      <w:r w:rsidRPr="00C34891">
        <w:rPr>
          <w:vertAlign w:val="superscript"/>
        </w:rPr>
        <w:t>2</w:t>
      </w:r>
      <w:r>
        <w:t xml:space="preserve"> za cenu 300,-/m</w:t>
      </w:r>
      <w:r w:rsidRPr="00C34891">
        <w:rPr>
          <w:vertAlign w:val="superscript"/>
        </w:rPr>
        <w:t>2</w:t>
      </w:r>
      <w:r>
        <w:t>, vše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ČB, za celkovou kupní cenu 3 600,-Kč</w:t>
      </w:r>
      <w:r w:rsidRPr="007B011A">
        <w:rPr>
          <w:rFonts w:cs="Calibri"/>
          <w:b/>
          <w:bCs/>
        </w:rPr>
        <w:t xml:space="preserve"> </w:t>
      </w:r>
    </w:p>
    <w:p w:rsidR="007B011A" w:rsidRPr="007B011A" w:rsidRDefault="007B011A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7B011A" w:rsidRPr="007B011A" w:rsidRDefault="007B011A" w:rsidP="00240799">
      <w:pPr>
        <w:spacing w:after="0" w:line="240" w:lineRule="auto"/>
        <w:rPr>
          <w:rFonts w:cs="Calibri"/>
          <w:bCs/>
        </w:rPr>
      </w:pPr>
    </w:p>
    <w:p w:rsidR="00C87D3A" w:rsidRPr="004E512C" w:rsidRDefault="00C87D3A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C87D3A" w:rsidRPr="00343F56" w:rsidRDefault="007B011A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přijetí úvěru od ČSOB ve výši 2 693 636</w:t>
      </w:r>
      <w:r w:rsidR="00C87D3A">
        <w:t>,-</w:t>
      </w:r>
      <w:r>
        <w:t>Kč</w:t>
      </w:r>
      <w:r w:rsidR="00C87D3A">
        <w:t xml:space="preserve"> na financování investiční akce "Stavební úpravy pro snížení </w:t>
      </w:r>
      <w:proofErr w:type="gramStart"/>
      <w:r w:rsidR="00C87D3A">
        <w:t>energetické  náročnosti</w:t>
      </w:r>
      <w:proofErr w:type="gramEnd"/>
      <w:r w:rsidR="00C87D3A">
        <w:t xml:space="preserve"> objektu a výměna zdroje vytápění MŠ a OÚ v obci Adamov" včetně jeho zajištění </w:t>
      </w:r>
      <w:proofErr w:type="spellStart"/>
      <w:r w:rsidR="00C87D3A">
        <w:t>biankosměnkou</w:t>
      </w:r>
      <w:proofErr w:type="spellEnd"/>
      <w:r w:rsidR="00C87D3A" w:rsidRPr="00343F56">
        <w:rPr>
          <w:rFonts w:cs="Calibri"/>
          <w:bCs/>
        </w:rPr>
        <w:t xml:space="preserve"> </w:t>
      </w:r>
    </w:p>
    <w:p w:rsidR="00C87D3A" w:rsidRPr="007B011A" w:rsidRDefault="00C87D3A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C87D3A" w:rsidRDefault="00C87D3A" w:rsidP="00240799">
      <w:pPr>
        <w:spacing w:after="0" w:line="240" w:lineRule="auto"/>
        <w:rPr>
          <w:rFonts w:cs="Calibri"/>
          <w:b/>
          <w:bCs/>
        </w:rPr>
      </w:pPr>
    </w:p>
    <w:p w:rsidR="007B011A" w:rsidRDefault="007B011A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VI. – pověřuje</w:t>
      </w:r>
    </w:p>
    <w:p w:rsidR="007B011A" w:rsidRPr="007B011A" w:rsidRDefault="007B011A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starostu obce podpisem smlouvy o úvěru </w:t>
      </w:r>
      <w:r w:rsidR="00B478AF">
        <w:rPr>
          <w:rFonts w:cs="Calibri"/>
          <w:bCs/>
        </w:rPr>
        <w:t>s ČSOB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15720" w:rsidRPr="004E512C" w:rsidRDefault="00B15720" w:rsidP="00240799">
      <w:pPr>
        <w:pStyle w:val="Odstavecseseznamem"/>
        <w:spacing w:after="0" w:line="240" w:lineRule="auto"/>
        <w:ind w:left="1545"/>
      </w:pPr>
    </w:p>
    <w:p w:rsidR="00B478AF" w:rsidRPr="004E512C" w:rsidRDefault="00B478AF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výsledek výběrového řízení na akci "Stavební </w:t>
      </w:r>
      <w:r w:rsidR="00240799">
        <w:t xml:space="preserve">úpravy pro snížení </w:t>
      </w:r>
      <w:proofErr w:type="gramStart"/>
      <w:r w:rsidR="00240799">
        <w:t xml:space="preserve">energetické  </w:t>
      </w:r>
      <w:r>
        <w:t>náročnosti</w:t>
      </w:r>
      <w:proofErr w:type="gramEnd"/>
      <w:r>
        <w:t xml:space="preserve"> objektu a výměna zdroje vytápění MŠ a OÚ v obci Adamov"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</w:p>
    <w:p w:rsidR="00B478AF" w:rsidRPr="004E512C" w:rsidRDefault="00B478AF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478AF" w:rsidRP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 xml:space="preserve">Smlouvu o dílo č. 71S/2012 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VII. – pověřuje</w:t>
      </w:r>
    </w:p>
    <w:p w:rsidR="00B478AF" w:rsidRPr="007B011A" w:rsidRDefault="00B478AF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starostu obce podpisem </w:t>
      </w:r>
      <w:r>
        <w:t>Smlouvy o dílo č. 71S/2012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478AF" w:rsidRPr="004E512C" w:rsidRDefault="00B478AF" w:rsidP="00240799">
      <w:pPr>
        <w:pStyle w:val="Odstavecseseznamem"/>
        <w:spacing w:after="0" w:line="240" w:lineRule="auto"/>
        <w:ind w:left="1545"/>
      </w:pP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VIII. – souhlasí</w:t>
      </w:r>
    </w:p>
    <w:p w:rsid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 uskutečněním zájezdu do Bad Füssingu v termínu </w:t>
      </w:r>
      <w:proofErr w:type="gramStart"/>
      <w:r>
        <w:t>10.11.2012</w:t>
      </w:r>
      <w:proofErr w:type="gramEnd"/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613DB7" w:rsidRDefault="00613DB7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478AF" w:rsidRPr="004E512C" w:rsidRDefault="00B478AF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>podání žádosti o dotaci na akci „Stavební úpravy ploch pro nádoby na tříděný odpad“</w:t>
      </w:r>
    </w:p>
    <w:p w:rsidR="00B478AF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</w:p>
    <w:p w:rsidR="00B478AF" w:rsidRPr="004E512C" w:rsidRDefault="00B478AF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</w:pPr>
      <w:r>
        <w:t>cenu za zpracování žádosti o dotaci na akci „Stavební úpravy ploch pro nádoby na tříděný odpad“ ve výši</w:t>
      </w:r>
      <w:r w:rsidR="00240799">
        <w:t xml:space="preserve"> </w:t>
      </w:r>
      <w:r>
        <w:t xml:space="preserve"> 13</w:t>
      </w:r>
      <w:r w:rsidR="00240799">
        <w:t>.</w:t>
      </w:r>
      <w:r>
        <w:t>200,-Kč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r w:rsidRPr="007B011A">
        <w:rPr>
          <w:rFonts w:cs="Calibri"/>
          <w:b/>
          <w:bCs/>
        </w:rPr>
        <w:t>PRO –</w:t>
      </w:r>
      <w:r w:rsidR="00240799">
        <w:rPr>
          <w:rFonts w:cs="Calibri"/>
          <w:b/>
          <w:bCs/>
        </w:rPr>
        <w:t xml:space="preserve"> </w:t>
      </w:r>
      <w:r w:rsidRPr="007B011A">
        <w:rPr>
          <w:rFonts w:cs="Calibri"/>
          <w:b/>
          <w:bCs/>
        </w:rPr>
        <w:t>8 zastupitelů z 8 přítomných, PROTI – nikdo</w:t>
      </w: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</w:p>
    <w:p w:rsidR="00B478AF" w:rsidRPr="004E512C" w:rsidRDefault="00B478AF" w:rsidP="00240799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478AF" w:rsidRP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/>
          <w:bCs/>
        </w:rPr>
      </w:pPr>
      <w:r>
        <w:t xml:space="preserve">vypracování projektové dokumentace na „Stavební úpravy ploch pro nádoby na tříděný odpad“ za cenu </w:t>
      </w:r>
      <w:r w:rsidR="00240799">
        <w:t>20.400,- Kč vč. DPH</w:t>
      </w:r>
    </w:p>
    <w:p w:rsidR="00B478AF" w:rsidRPr="007B011A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proofErr w:type="gramStart"/>
      <w:r w:rsidRPr="007B011A">
        <w:rPr>
          <w:rFonts w:cs="Calibri"/>
          <w:b/>
          <w:bCs/>
        </w:rPr>
        <w:t>PRO –8 zastupitelů</w:t>
      </w:r>
      <w:proofErr w:type="gramEnd"/>
      <w:r w:rsidRPr="007B011A">
        <w:rPr>
          <w:rFonts w:cs="Calibri"/>
          <w:b/>
          <w:bCs/>
        </w:rPr>
        <w:t xml:space="preserve"> z 8 přítomných, PROTI – nikdo</w:t>
      </w: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</w:p>
    <w:p w:rsidR="00B478AF" w:rsidRDefault="00B478AF" w:rsidP="0024079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U19 – ad X. – schvaluje</w:t>
      </w:r>
    </w:p>
    <w:p w:rsidR="00B478AF" w:rsidRPr="00B478AF" w:rsidRDefault="00B478AF" w:rsidP="00240799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koupi 2 ks laviček </w:t>
      </w:r>
    </w:p>
    <w:p w:rsidR="00B478AF" w:rsidRDefault="00B478AF" w:rsidP="00240799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proofErr w:type="gramStart"/>
      <w:r w:rsidRPr="007B011A">
        <w:rPr>
          <w:rFonts w:cs="Calibri"/>
          <w:b/>
          <w:bCs/>
        </w:rPr>
        <w:t>PRO –8 zastupitelů</w:t>
      </w:r>
      <w:proofErr w:type="gramEnd"/>
      <w:r w:rsidRPr="007B011A">
        <w:rPr>
          <w:rFonts w:cs="Calibri"/>
          <w:b/>
          <w:bCs/>
        </w:rPr>
        <w:t xml:space="preserve"> z 8 přítomných, PROTI – nikdo</w:t>
      </w:r>
    </w:p>
    <w:p w:rsidR="00376247" w:rsidRDefault="00376247" w:rsidP="00376247">
      <w:pPr>
        <w:spacing w:after="0" w:line="240" w:lineRule="auto"/>
        <w:rPr>
          <w:rFonts w:cs="Calibri"/>
          <w:b/>
          <w:bCs/>
        </w:rPr>
      </w:pPr>
    </w:p>
    <w:p w:rsidR="00376247" w:rsidRDefault="00376247" w:rsidP="00376247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U19 – ad X. – schvaluje</w:t>
      </w:r>
    </w:p>
    <w:p w:rsidR="00376247" w:rsidRPr="00B478AF" w:rsidRDefault="00376247" w:rsidP="00376247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Plán zimní údržby obce Adamov</w:t>
      </w:r>
    </w:p>
    <w:p w:rsidR="00376247" w:rsidRDefault="00376247" w:rsidP="00376247">
      <w:pPr>
        <w:pStyle w:val="Odstavecseseznamem"/>
        <w:spacing w:after="0" w:line="240" w:lineRule="auto"/>
        <w:ind w:left="1545"/>
        <w:rPr>
          <w:rFonts w:cs="Calibri"/>
          <w:b/>
          <w:bCs/>
        </w:rPr>
      </w:pPr>
      <w:proofErr w:type="gramStart"/>
      <w:r w:rsidRPr="007B011A">
        <w:rPr>
          <w:rFonts w:cs="Calibri"/>
          <w:b/>
          <w:bCs/>
        </w:rPr>
        <w:t>PRO –8 zastupitelů</w:t>
      </w:r>
      <w:proofErr w:type="gramEnd"/>
      <w:r w:rsidRPr="007B011A">
        <w:rPr>
          <w:rFonts w:cs="Calibri"/>
          <w:b/>
          <w:bCs/>
        </w:rPr>
        <w:t xml:space="preserve"> z 8 přítomných, PROTI – nikdo</w:t>
      </w:r>
    </w:p>
    <w:p w:rsidR="00376247" w:rsidRPr="00376247" w:rsidRDefault="00376247" w:rsidP="00376247">
      <w:pPr>
        <w:spacing w:after="0" w:line="240" w:lineRule="auto"/>
        <w:rPr>
          <w:rFonts w:cs="Calibri"/>
          <w:b/>
          <w:bCs/>
        </w:rPr>
      </w:pPr>
    </w:p>
    <w:p w:rsidR="00343F56" w:rsidRDefault="00343F56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343F56" w:rsidRDefault="00343F56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240799" w:rsidRDefault="00240799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240799" w:rsidRPr="004E512C" w:rsidRDefault="00240799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240799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Default="000405FD" w:rsidP="00240799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40799" w:rsidRDefault="00240799" w:rsidP="00240799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Ověřovatelé zápisu:</w:t>
      </w:r>
    </w:p>
    <w:p w:rsidR="00240799" w:rsidRDefault="00240799" w:rsidP="00240799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Kamila Lukschová</w:t>
      </w:r>
    </w:p>
    <w:p w:rsidR="00240799" w:rsidRDefault="00240799" w:rsidP="00240799">
      <w:pPr>
        <w:pStyle w:val="Zkladntext"/>
        <w:rPr>
          <w:rFonts w:asciiTheme="minorHAnsi" w:hAnsiTheme="minorHAnsi"/>
          <w:i w:val="0"/>
          <w:sz w:val="22"/>
          <w:szCs w:val="22"/>
        </w:rPr>
      </w:pPr>
    </w:p>
    <w:p w:rsidR="00240799" w:rsidRPr="004E512C" w:rsidRDefault="00240799" w:rsidP="00240799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Milan Slaba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EC38E8" w:rsidRPr="004E512C" w:rsidRDefault="00EC38E8" w:rsidP="00193848">
      <w:pPr>
        <w:spacing w:after="0" w:line="240" w:lineRule="auto"/>
      </w:pPr>
      <w:r w:rsidRPr="004E512C">
        <w:rPr>
          <w:b/>
        </w:rPr>
        <w:t xml:space="preserve">                             </w:t>
      </w:r>
      <w:r w:rsidRPr="004E512C">
        <w:t xml:space="preserve">                             </w:t>
      </w:r>
    </w:p>
    <w:p w:rsidR="00C274F9" w:rsidRPr="004E512C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Pr="004E512C" w:rsidRDefault="00C274F9" w:rsidP="006064B0">
      <w:pPr>
        <w:tabs>
          <w:tab w:val="left" w:pos="8190"/>
        </w:tabs>
        <w:spacing w:after="0" w:line="240" w:lineRule="auto"/>
      </w:pPr>
      <w:r w:rsidRPr="004E512C">
        <w:t xml:space="preserve">                                                            </w:t>
      </w:r>
      <w:r w:rsidRPr="004E512C">
        <w:rPr>
          <w:b/>
        </w:rPr>
        <w:br/>
      </w:r>
      <w:r w:rsidRPr="004E512C"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692F92">
      <w:pgSz w:w="11906" w:h="16838"/>
      <w:pgMar w:top="1418" w:right="141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96" w:rsidRDefault="00395C96" w:rsidP="001C582A">
      <w:pPr>
        <w:spacing w:after="0" w:line="240" w:lineRule="auto"/>
      </w:pPr>
      <w:r>
        <w:separator/>
      </w:r>
    </w:p>
  </w:endnote>
  <w:endnote w:type="continuationSeparator" w:id="0">
    <w:p w:rsidR="00395C96" w:rsidRDefault="00395C96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96" w:rsidRDefault="00395C96" w:rsidP="001C582A">
      <w:pPr>
        <w:spacing w:after="0" w:line="240" w:lineRule="auto"/>
      </w:pPr>
      <w:r>
        <w:separator/>
      </w:r>
    </w:p>
  </w:footnote>
  <w:footnote w:type="continuationSeparator" w:id="0">
    <w:p w:rsidR="00395C96" w:rsidRDefault="00395C96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7106F0"/>
    <w:multiLevelType w:val="hybridMultilevel"/>
    <w:tmpl w:val="2EF494EA"/>
    <w:lvl w:ilvl="0" w:tplc="F84045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5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65E3"/>
    <w:rsid w:val="000C1C36"/>
    <w:rsid w:val="000C3347"/>
    <w:rsid w:val="000C7550"/>
    <w:rsid w:val="000D5EF5"/>
    <w:rsid w:val="000D6737"/>
    <w:rsid w:val="000F3D3E"/>
    <w:rsid w:val="0010293D"/>
    <w:rsid w:val="00107BC9"/>
    <w:rsid w:val="00107D92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03BB"/>
    <w:rsid w:val="00240799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43F56"/>
    <w:rsid w:val="003568CF"/>
    <w:rsid w:val="00356A73"/>
    <w:rsid w:val="00365F90"/>
    <w:rsid w:val="00366FCE"/>
    <w:rsid w:val="003671AF"/>
    <w:rsid w:val="00367927"/>
    <w:rsid w:val="00372DAE"/>
    <w:rsid w:val="00376247"/>
    <w:rsid w:val="0038282B"/>
    <w:rsid w:val="00382B8C"/>
    <w:rsid w:val="00387AC6"/>
    <w:rsid w:val="00395C96"/>
    <w:rsid w:val="00397A71"/>
    <w:rsid w:val="003A291B"/>
    <w:rsid w:val="003A5FBA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92F92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11A"/>
    <w:rsid w:val="007B0F05"/>
    <w:rsid w:val="007B185F"/>
    <w:rsid w:val="007B3F97"/>
    <w:rsid w:val="007B77DA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20C1"/>
    <w:rsid w:val="008E6F97"/>
    <w:rsid w:val="008E7837"/>
    <w:rsid w:val="008F1C8F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0C7F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1CA9"/>
    <w:rsid w:val="00A13D4A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27E9"/>
    <w:rsid w:val="00B1418F"/>
    <w:rsid w:val="00B15720"/>
    <w:rsid w:val="00B1632C"/>
    <w:rsid w:val="00B2133F"/>
    <w:rsid w:val="00B23E42"/>
    <w:rsid w:val="00B35BCC"/>
    <w:rsid w:val="00B36A42"/>
    <w:rsid w:val="00B478AF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140C"/>
    <w:rsid w:val="00C87D3A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04E43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61BE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4717-695F-4D5D-9DEA-ACEC7670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uzivatel</cp:lastModifiedBy>
  <cp:revision>5</cp:revision>
  <cp:lastPrinted>2013-03-27T09:18:00Z</cp:lastPrinted>
  <dcterms:created xsi:type="dcterms:W3CDTF">2013-03-25T12:04:00Z</dcterms:created>
  <dcterms:modified xsi:type="dcterms:W3CDTF">2013-07-13T07:46:00Z</dcterms:modified>
</cp:coreProperties>
</file>